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香河县刘宋镇人民政府</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jc w:val="both"/>
        <w:rPr>
          <w:rFonts w:ascii="黑体" w:hAnsi="黑体" w:eastAsia="黑体" w:cs="黑体"/>
          <w:sz w:val="56"/>
          <w:szCs w:val="7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hint="eastAsia" w:ascii="Times New Roman" w:hAnsi="Times New Roman" w:eastAsia="黑体" w:cs="Times New Roman"/>
          <w:sz w:val="20"/>
          <w:szCs w:val="32"/>
          <w:lang w:eastAsia="zh-CN"/>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r>
        <w:rPr>
          <w:rFonts w:hint="eastAsia" w:ascii="Times New Roman" w:hAnsi="Times New Roman" w:eastAsia="黑体" w:cs="Times New Roman"/>
          <w:sz w:val="32"/>
          <w:szCs w:val="32"/>
          <w:lang w:eastAsia="zh-CN"/>
        </w:rPr>
        <w:t>（见附件）</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4" w:type="first"/>
          <w:footerReference r:id="rId16" w:type="first"/>
          <w:headerReference r:id="rId13" w:type="default"/>
          <w:footerReference r:id="rId15"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31"/>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 w:hAnsi="仿宋" w:eastAsia="仿宋"/>
          <w:sz w:val="32"/>
          <w:szCs w:val="32"/>
        </w:rPr>
      </w:pPr>
      <w:r>
        <w:rPr>
          <w:rFonts w:hint="eastAsia" w:ascii="仿宋" w:hAnsi="仿宋" w:eastAsia="仿宋"/>
          <w:sz w:val="32"/>
          <w:szCs w:val="32"/>
        </w:rPr>
        <w:t>强化引导功能，集中精力抓好党的农村工作方针政策的落实，抓好基层政权建设和农业产业结构调整等带有方向性何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功能，使事业站所以及基层工商、税务等机构，能够围绕镇工作“一盘棋”相互配合。同时，进一步规范镇政府和村级组织的工作职能作用。</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香河县刘宋镇人民政府</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bl>
    <w:p>
      <w:pPr>
        <w:widowControl/>
        <w:spacing w:after="160" w:line="580" w:lineRule="exact"/>
        <w:rPr>
          <w:rFonts w:ascii="Times New Roman" w:hAnsi="Times New Roman" w:eastAsia="黑体" w:cs="Times New Roman"/>
          <w:sz w:val="32"/>
          <w:szCs w:val="32"/>
        </w:rPr>
        <w:sectPr>
          <w:footerReference r:id="rId19" w:type="first"/>
          <w:headerReference r:id="rId17" w:type="default"/>
          <w:footerReference r:id="rId18"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cs="Times New Roman"/>
          <w:sz w:val="32"/>
          <w:szCs w:val="32"/>
        </w:rPr>
        <w:sectPr>
          <w:headerReference r:id="rId20" w:type="default"/>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7462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jc w:val="both"/>
        <w:rPr>
          <w:rFonts w:hint="eastAsia" w:ascii="黑体" w:hAnsi="黑体" w:eastAsia="黑体" w:cs="黑体"/>
          <w:sz w:val="56"/>
          <w:szCs w:val="72"/>
          <w:lang w:val="en-US" w:eastAsia="zh-CN"/>
        </w:rPr>
      </w:pPr>
      <w:r>
        <w:rPr>
          <w:rFonts w:hint="eastAsia" w:ascii="黑体" w:hAnsi="黑体" w:eastAsia="黑体" w:cs="黑体"/>
          <w:sz w:val="56"/>
          <w:szCs w:val="72"/>
          <w:lang w:val="en-US" w:eastAsia="zh-CN"/>
        </w:rPr>
        <w:t xml:space="preserve">  </w:t>
      </w:r>
    </w:p>
    <w:p>
      <w:pPr>
        <w:jc w:val="both"/>
        <w:rPr>
          <w:rFonts w:hint="eastAsia"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88960"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89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31"/>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both"/>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本部门201</w:t>
      </w:r>
      <w:r>
        <w:rPr>
          <w:rFonts w:hint="eastAsia" w:ascii="仿宋" w:hAnsi="仿宋" w:eastAsia="仿宋" w:cs="Times New Roman"/>
          <w:sz w:val="32"/>
          <w:szCs w:val="32"/>
          <w:lang w:val="en-US" w:eastAsia="zh-CN"/>
        </w:rPr>
        <w:t>9</w:t>
      </w:r>
      <w:r>
        <w:rPr>
          <w:rFonts w:ascii="仿宋" w:hAnsi="仿宋" w:eastAsia="仿宋" w:cs="Times New Roman"/>
          <w:sz w:val="32"/>
          <w:szCs w:val="32"/>
        </w:rPr>
        <w:t>年度年初结转和结余</w:t>
      </w:r>
      <w:r>
        <w:rPr>
          <w:rFonts w:hint="eastAsia" w:ascii="仿宋" w:hAnsi="仿宋" w:eastAsia="仿宋" w:cs="Times New Roman"/>
          <w:sz w:val="32"/>
          <w:szCs w:val="32"/>
          <w:lang w:val="en-US" w:eastAsia="zh-CN"/>
        </w:rPr>
        <w:t>1049.51</w:t>
      </w:r>
      <w:r>
        <w:rPr>
          <w:rFonts w:ascii="仿宋" w:hAnsi="仿宋" w:eastAsia="仿宋" w:cs="Times New Roman"/>
          <w:sz w:val="32"/>
          <w:szCs w:val="32"/>
        </w:rPr>
        <w:t>万元，本年收入</w:t>
      </w:r>
      <w:r>
        <w:rPr>
          <w:rFonts w:hint="eastAsia" w:ascii="仿宋" w:hAnsi="仿宋" w:eastAsia="仿宋" w:cs="Times New Roman"/>
          <w:sz w:val="32"/>
          <w:szCs w:val="32"/>
          <w:lang w:val="en-US" w:eastAsia="zh-CN"/>
        </w:rPr>
        <w:t>9729.46</w:t>
      </w:r>
      <w:r>
        <w:rPr>
          <w:rFonts w:ascii="仿宋" w:hAnsi="仿宋" w:eastAsia="仿宋" w:cs="Times New Roman"/>
          <w:sz w:val="32"/>
          <w:szCs w:val="32"/>
        </w:rPr>
        <w:t>万元；本年支出</w:t>
      </w:r>
      <w:r>
        <w:rPr>
          <w:rFonts w:hint="eastAsia" w:ascii="仿宋" w:hAnsi="仿宋" w:eastAsia="仿宋" w:cs="Times New Roman"/>
          <w:sz w:val="32"/>
          <w:szCs w:val="32"/>
          <w:lang w:val="en-US" w:eastAsia="zh-CN"/>
        </w:rPr>
        <w:t>10031.34</w:t>
      </w:r>
      <w:r>
        <w:rPr>
          <w:rFonts w:ascii="仿宋" w:hAnsi="仿宋" w:eastAsia="仿宋" w:cs="Times New Roman"/>
          <w:sz w:val="32"/>
          <w:szCs w:val="32"/>
        </w:rPr>
        <w:t>万元、年末结转和结余</w:t>
      </w:r>
      <w:r>
        <w:rPr>
          <w:rFonts w:hint="eastAsia" w:ascii="仿宋" w:hAnsi="仿宋" w:eastAsia="仿宋" w:cs="Times New Roman"/>
          <w:sz w:val="32"/>
          <w:szCs w:val="32"/>
          <w:lang w:val="en-US" w:eastAsia="zh-CN"/>
        </w:rPr>
        <w:t>747.63</w:t>
      </w:r>
      <w:r>
        <w:rPr>
          <w:rFonts w:ascii="仿宋" w:hAnsi="仿宋" w:eastAsia="仿宋" w:cs="Times New Roman"/>
          <w:sz w:val="32"/>
          <w:szCs w:val="32"/>
        </w:rPr>
        <w:t>万元。与201</w:t>
      </w:r>
      <w:r>
        <w:rPr>
          <w:rFonts w:hint="eastAsia" w:ascii="仿宋" w:hAnsi="仿宋" w:eastAsia="仿宋" w:cs="Times New Roman"/>
          <w:sz w:val="32"/>
          <w:szCs w:val="32"/>
          <w:lang w:val="en-US" w:eastAsia="zh-CN"/>
        </w:rPr>
        <w:t>8</w:t>
      </w:r>
      <w:r>
        <w:rPr>
          <w:rFonts w:ascii="仿宋" w:hAnsi="仿宋" w:eastAsia="仿宋" w:cs="Times New Roman"/>
          <w:sz w:val="32"/>
          <w:szCs w:val="32"/>
        </w:rPr>
        <w:t>年度决算相比，本年收入</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4187.87</w:t>
      </w:r>
      <w:r>
        <w:rPr>
          <w:rFonts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30.09</w:t>
      </w:r>
      <w:r>
        <w:rPr>
          <w:rFonts w:ascii="仿宋" w:hAnsi="仿宋" w:eastAsia="仿宋" w:cs="Times New Roman"/>
          <w:sz w:val="32"/>
          <w:szCs w:val="32"/>
        </w:rPr>
        <w:t>%，主要是</w:t>
      </w:r>
      <w:r>
        <w:rPr>
          <w:rFonts w:hint="eastAsia" w:ascii="仿宋" w:hAnsi="仿宋" w:eastAsia="仿宋" w:cs="Times New Roman"/>
          <w:sz w:val="32"/>
          <w:szCs w:val="32"/>
          <w:lang w:eastAsia="zh-CN"/>
        </w:rPr>
        <w:t>美丽乡村与环境大气治理项目的减少</w:t>
      </w:r>
      <w:r>
        <w:rPr>
          <w:rFonts w:ascii="仿宋" w:hAnsi="仿宋" w:eastAsia="仿宋" w:cs="Times New Roman"/>
          <w:sz w:val="32"/>
          <w:szCs w:val="32"/>
        </w:rPr>
        <w:t>；本年支出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3001.91</w:t>
      </w:r>
      <w:r>
        <w:rPr>
          <w:rFonts w:ascii="仿宋" w:hAnsi="仿宋" w:eastAsia="仿宋" w:cs="Times New Roman"/>
          <w:sz w:val="32"/>
          <w:szCs w:val="32"/>
        </w:rPr>
        <w:t>万元，</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23.03</w:t>
      </w:r>
      <w:r>
        <w:rPr>
          <w:rFonts w:ascii="仿宋" w:hAnsi="仿宋" w:eastAsia="仿宋" w:cs="Times New Roman"/>
          <w:sz w:val="32"/>
          <w:szCs w:val="32"/>
        </w:rPr>
        <w:t>%，主要是</w:t>
      </w:r>
      <w:r>
        <w:rPr>
          <w:rFonts w:hint="eastAsia" w:ascii="仿宋" w:hAnsi="仿宋" w:eastAsia="仿宋" w:cs="Times New Roman"/>
          <w:sz w:val="32"/>
          <w:szCs w:val="32"/>
          <w:lang w:eastAsia="zh-CN"/>
        </w:rPr>
        <w:t>美丽乡村与环境大气治理支出的减少</w:t>
      </w:r>
      <w:r>
        <w:rPr>
          <w:rFonts w:ascii="仿宋" w:hAnsi="仿宋" w:eastAsia="仿宋" w:cs="Times New Roman"/>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pacing w:line="584" w:lineRule="exact"/>
        <w:ind w:firstLine="640" w:firstLineChars="200"/>
        <w:outlineLvl w:val="1"/>
        <w:rPr>
          <w:rFonts w:ascii="黑体" w:hAnsi="Calibri" w:eastAsia="黑体" w:cs="Times New Roman"/>
          <w:b/>
          <w:bCs/>
          <w:sz w:val="32"/>
          <w:szCs w:val="32"/>
        </w:rPr>
      </w:pPr>
      <w:r>
        <w:rPr>
          <w:rFonts w:ascii="仿宋" w:hAnsi="仿宋" w:eastAsia="仿宋" w:cs="Times New Roman"/>
          <w:bCs/>
          <w:sz w:val="32"/>
          <w:szCs w:val="32"/>
          <w:lang w:val="zh-CN"/>
        </w:rPr>
        <w:t>本部门201</w:t>
      </w:r>
      <w:r>
        <w:rPr>
          <w:rFonts w:hint="eastAsia" w:ascii="仿宋" w:hAnsi="仿宋" w:eastAsia="仿宋" w:cs="Times New Roman"/>
          <w:bCs/>
          <w:sz w:val="32"/>
          <w:szCs w:val="32"/>
          <w:lang w:val="en-US" w:eastAsia="zh-CN"/>
        </w:rPr>
        <w:t>9</w:t>
      </w:r>
      <w:r>
        <w:rPr>
          <w:rFonts w:ascii="仿宋" w:hAnsi="仿宋" w:eastAsia="仿宋" w:cs="Times New Roman"/>
          <w:bCs/>
          <w:sz w:val="32"/>
          <w:szCs w:val="32"/>
          <w:lang w:val="zh-CN"/>
        </w:rPr>
        <w:t>年度本年收入合计</w:t>
      </w:r>
      <w:r>
        <w:rPr>
          <w:rFonts w:hint="eastAsia" w:ascii="仿宋" w:hAnsi="仿宋" w:eastAsia="仿宋" w:cs="Times New Roman"/>
          <w:sz w:val="32"/>
          <w:szCs w:val="32"/>
          <w:lang w:val="en-US" w:eastAsia="zh-CN"/>
        </w:rPr>
        <w:t>9729.46</w:t>
      </w:r>
      <w:r>
        <w:rPr>
          <w:rFonts w:ascii="仿宋" w:hAnsi="仿宋" w:eastAsia="仿宋" w:cs="Times New Roman"/>
          <w:bCs/>
          <w:sz w:val="32"/>
          <w:szCs w:val="32"/>
          <w:lang w:val="zh-CN"/>
        </w:rPr>
        <w:t>万元，其中：财政拨款收入</w:t>
      </w:r>
      <w:r>
        <w:rPr>
          <w:rFonts w:hint="eastAsia" w:ascii="仿宋" w:hAnsi="仿宋" w:eastAsia="仿宋" w:cs="Times New Roman"/>
          <w:sz w:val="32"/>
          <w:szCs w:val="32"/>
          <w:lang w:val="en-US" w:eastAsia="zh-CN"/>
        </w:rPr>
        <w:t>9729.46</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100</w:t>
      </w:r>
      <w:r>
        <w:rPr>
          <w:rFonts w:ascii="仿宋" w:hAnsi="仿宋" w:eastAsia="仿宋" w:cs="Times New Roman"/>
          <w:bCs/>
          <w:sz w:val="32"/>
          <w:szCs w:val="32"/>
          <w:lang w:val="zh-CN"/>
        </w:rPr>
        <w:t>%；事业收入</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%；经营收入</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%；其他收入</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pacing w:line="584" w:lineRule="exact"/>
        <w:ind w:firstLine="640" w:firstLineChars="200"/>
        <w:outlineLvl w:val="1"/>
        <w:rPr>
          <w:rFonts w:ascii="黑体" w:hAnsi="Calibri" w:eastAsia="黑体" w:cs="Times New Roman"/>
          <w:b/>
          <w:bCs/>
          <w:sz w:val="32"/>
          <w:szCs w:val="32"/>
        </w:rPr>
      </w:pPr>
      <w:r>
        <w:rPr>
          <w:rFonts w:ascii="仿宋" w:hAnsi="仿宋" w:eastAsia="仿宋" w:cs="Times New Roman"/>
          <w:bCs/>
          <w:sz w:val="32"/>
          <w:szCs w:val="32"/>
          <w:lang w:val="zh-CN"/>
        </w:rPr>
        <w:t>本部门201</w:t>
      </w:r>
      <w:r>
        <w:rPr>
          <w:rFonts w:hint="eastAsia" w:ascii="仿宋" w:hAnsi="仿宋" w:eastAsia="仿宋" w:cs="Times New Roman"/>
          <w:bCs/>
          <w:sz w:val="32"/>
          <w:szCs w:val="32"/>
          <w:lang w:val="en-US" w:eastAsia="zh-CN"/>
        </w:rPr>
        <w:t>9</w:t>
      </w:r>
      <w:r>
        <w:rPr>
          <w:rFonts w:ascii="仿宋" w:hAnsi="仿宋" w:eastAsia="仿宋" w:cs="Times New Roman"/>
          <w:bCs/>
          <w:sz w:val="32"/>
          <w:szCs w:val="32"/>
          <w:lang w:val="zh-CN"/>
        </w:rPr>
        <w:t>年度本年支出合计</w:t>
      </w:r>
      <w:r>
        <w:rPr>
          <w:rFonts w:hint="eastAsia" w:ascii="仿宋" w:hAnsi="仿宋" w:eastAsia="仿宋" w:cs="Times New Roman"/>
          <w:sz w:val="32"/>
          <w:szCs w:val="32"/>
          <w:lang w:val="en-US" w:eastAsia="zh-CN"/>
        </w:rPr>
        <w:t>10031.34</w:t>
      </w:r>
      <w:r>
        <w:rPr>
          <w:rFonts w:ascii="仿宋" w:hAnsi="仿宋" w:eastAsia="仿宋" w:cs="Times New Roman"/>
          <w:bCs/>
          <w:sz w:val="32"/>
          <w:szCs w:val="32"/>
          <w:lang w:val="zh-CN"/>
        </w:rPr>
        <w:t>万元，其中：基本支出</w:t>
      </w:r>
      <w:r>
        <w:rPr>
          <w:rFonts w:hint="eastAsia" w:ascii="仿宋" w:hAnsi="仿宋" w:eastAsia="仿宋" w:cs="Times New Roman"/>
          <w:bCs/>
          <w:sz w:val="32"/>
          <w:szCs w:val="32"/>
        </w:rPr>
        <w:t>2708.61</w:t>
      </w:r>
      <w:r>
        <w:rPr>
          <w:rFonts w:ascii="仿宋" w:hAnsi="仿宋" w:eastAsia="仿宋" w:cs="Times New Roman"/>
          <w:bCs/>
          <w:sz w:val="32"/>
          <w:szCs w:val="32"/>
          <w:lang w:val="zh-CN"/>
        </w:rPr>
        <w:t>万元，占</w:t>
      </w:r>
      <w:r>
        <w:rPr>
          <w:rFonts w:hint="eastAsia" w:ascii="仿宋" w:hAnsi="仿宋" w:eastAsia="仿宋" w:cs="Times New Roman"/>
          <w:bCs/>
          <w:sz w:val="32"/>
          <w:szCs w:val="32"/>
          <w:lang w:val="en-US" w:eastAsia="zh-CN"/>
        </w:rPr>
        <w:t>27</w:t>
      </w:r>
      <w:r>
        <w:rPr>
          <w:rFonts w:ascii="仿宋" w:hAnsi="仿宋" w:eastAsia="仿宋" w:cs="Times New Roman"/>
          <w:bCs/>
          <w:sz w:val="32"/>
          <w:szCs w:val="32"/>
          <w:lang w:val="zh-CN"/>
        </w:rPr>
        <w:t>%；项目支出</w:t>
      </w:r>
      <w:r>
        <w:rPr>
          <w:rFonts w:hint="eastAsia" w:ascii="仿宋" w:hAnsi="仿宋" w:eastAsia="仿宋" w:cs="Times New Roman"/>
          <w:bCs/>
          <w:sz w:val="32"/>
          <w:szCs w:val="32"/>
        </w:rPr>
        <w:t>7322.73</w:t>
      </w:r>
      <w:r>
        <w:rPr>
          <w:rFonts w:ascii="仿宋" w:hAnsi="仿宋" w:eastAsia="仿宋" w:cs="Times New Roman"/>
          <w:bCs/>
          <w:sz w:val="32"/>
          <w:szCs w:val="32"/>
          <w:lang w:val="zh-CN"/>
        </w:rPr>
        <w:t>万元，占</w:t>
      </w:r>
      <w:r>
        <w:rPr>
          <w:rFonts w:hint="eastAsia" w:ascii="仿宋" w:hAnsi="仿宋" w:eastAsia="仿宋" w:cs="Times New Roman"/>
          <w:bCs/>
          <w:sz w:val="32"/>
          <w:szCs w:val="32"/>
          <w:lang w:val="en-US" w:eastAsia="zh-CN"/>
        </w:rPr>
        <w:t>73</w:t>
      </w:r>
      <w:r>
        <w:rPr>
          <w:rFonts w:ascii="仿宋" w:hAnsi="仿宋" w:eastAsia="仿宋" w:cs="Times New Roman"/>
          <w:bCs/>
          <w:sz w:val="32"/>
          <w:szCs w:val="32"/>
          <w:lang w:val="zh-CN"/>
        </w:rPr>
        <w:t>%；经营支出</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万元，占</w:t>
      </w:r>
      <w:r>
        <w:rPr>
          <w:rFonts w:hint="eastAsia" w:ascii="仿宋" w:hAnsi="仿宋" w:eastAsia="仿宋" w:cs="Times New Roman"/>
          <w:bCs/>
          <w:sz w:val="32"/>
          <w:szCs w:val="32"/>
          <w:lang w:val="zh-CN"/>
        </w:rPr>
        <w:t>0</w:t>
      </w:r>
      <w:r>
        <w:rPr>
          <w:rFonts w:ascii="仿宋" w:hAnsi="仿宋" w:eastAsia="仿宋" w:cs="Times New Roman"/>
          <w:bCs/>
          <w:sz w:val="32"/>
          <w:szCs w:val="32"/>
          <w:lang w:val="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9729.46</w:t>
      </w:r>
      <w:r>
        <w:rPr>
          <w:rFonts w:hint="eastAsia" w:ascii="仿宋_GB2312" w:hAnsi="Times New Roman" w:eastAsia="仿宋_GB2312" w:cs="DengXian-Regular"/>
          <w:sz w:val="32"/>
          <w:szCs w:val="32"/>
        </w:rPr>
        <w:t>万元,比2018年度</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4187.87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30.09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环境卫生治理项目的减少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10031.34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3001.91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23.03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环境卫生治理项目的减少</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val="en-US" w:eastAsia="zh-CN"/>
        </w:rPr>
        <w:t>8429.46</w:t>
      </w:r>
      <w:r>
        <w:rPr>
          <w:rFonts w:hint="eastAsia" w:ascii="仿宋_GB2312" w:hAnsi="Times New Roman" w:eastAsia="仿宋_GB2312" w:cs="DengXian-Regular"/>
          <w:sz w:val="32"/>
          <w:szCs w:val="32"/>
        </w:rPr>
        <w:t>万元，比上年</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5487.87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环境卫生治理项目的减少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8731.34</w:t>
      </w:r>
      <w:r>
        <w:rPr>
          <w:rFonts w:hint="eastAsia" w:ascii="仿宋_GB2312" w:hAnsi="Times New Roman" w:eastAsia="仿宋_GB2312" w:cs="DengXian-Regular"/>
          <w:sz w:val="32"/>
          <w:szCs w:val="32"/>
        </w:rPr>
        <w:t>万元，比上年</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4301.91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33.01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环境卫生治理项目的减少</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hint="default" w:ascii="楷体_GB2312" w:hAnsi="Times New Roman" w:eastAsia="楷体_GB2312" w:cs="DengXian-Bold"/>
          <w:b/>
          <w:bCs/>
          <w:sz w:val="32"/>
          <w:szCs w:val="32"/>
          <w:lang w:val="en-US" w:eastAsia="zh-CN"/>
        </w:rPr>
      </w:pPr>
      <w:r>
        <w:rPr>
          <w:rFonts w:hint="eastAsia" w:ascii="仿宋_GB2312" w:hAnsi="Times New Roman" w:eastAsia="仿宋_GB2312" w:cs="DengXian-Regular"/>
          <w:sz w:val="32"/>
          <w:szCs w:val="32"/>
        </w:rPr>
        <w:t>政府性基金预算财政拨款本年收入</w:t>
      </w:r>
      <w:r>
        <w:rPr>
          <w:rFonts w:hint="eastAsia" w:ascii="仿宋_GB2312" w:hAnsi="Times New Roman" w:eastAsia="仿宋_GB2312" w:cs="DengXian-Regular"/>
          <w:sz w:val="32"/>
          <w:szCs w:val="32"/>
          <w:lang w:val="en-US" w:eastAsia="zh-CN"/>
        </w:rPr>
        <w:t>1300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1300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1300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美丽乡村项目的增加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1300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1300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1300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美丽乡村项目的增加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val="en-US" w:eastAsia="zh-CN"/>
        </w:rPr>
        <w:t>9729.46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123.13%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1827.7</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大气卫生治理与美丽乡村资金预算不足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10031.34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126.95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2129.58</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大气卫生治理与美丽乡村资金增多</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0"/>
          <w:szCs w:val="30"/>
          <w:lang w:val="en-US" w:eastAsia="zh-CN"/>
        </w:rPr>
        <w:t>107.13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527.7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大气卫生治理资金的增加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119.96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1577.21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大气卫生治理资金的增加</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360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800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美丽乡村项目资金预算不足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360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800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美丽乡村项目资金支出增加</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10031.34</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1713.01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17.07</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204.48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2.03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卫生健康（类）支出</w:t>
      </w:r>
      <w:r>
        <w:rPr>
          <w:rFonts w:hint="eastAsia" w:ascii="仿宋_GB2312" w:hAnsi="Times New Roman" w:eastAsia="仿宋_GB2312" w:cs="DengXian-Regular"/>
          <w:sz w:val="32"/>
          <w:szCs w:val="32"/>
          <w:lang w:val="en-US" w:eastAsia="zh-CN"/>
        </w:rPr>
        <w:t>39.04万元，占0.39%；节能环保（类）支出927.65万元，占9.24%；城乡社区（类）支出2600万元，占25.92%；农林水（类）支出4481.46万元，占44.67%；</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65.72</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0.67</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2708.61</w:t>
      </w:r>
      <w:r>
        <w:rPr>
          <w:rFonts w:hint="eastAsia" w:ascii="仿宋_GB2312" w:hAnsi="Times New Roman" w:eastAsia="仿宋_GB2312" w:cs="DengXian-Regular"/>
          <w:sz w:val="32"/>
          <w:szCs w:val="32"/>
        </w:rPr>
        <w:t>万元，其中：人员经费</w:t>
      </w:r>
      <w:r>
        <w:rPr>
          <w:rFonts w:hint="eastAsia" w:ascii="仿宋_GB2312" w:hAnsi="Times New Roman" w:eastAsia="仿宋_GB2312" w:cs="DengXian-Regular"/>
          <w:sz w:val="32"/>
          <w:szCs w:val="32"/>
          <w:lang w:val="en-US" w:eastAsia="zh-CN"/>
        </w:rPr>
        <w:t>2266.64</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hAnsi="Times New Roman" w:eastAsia="仿宋_GB2312" w:cs="DengXian-Regular"/>
          <w:sz w:val="32"/>
          <w:szCs w:val="32"/>
          <w:lang w:val="en-US" w:eastAsia="zh-CN"/>
        </w:rPr>
        <w:t>441.98</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4.83</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48.3</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5.17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51.7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我单位规范公务接待活动，厉行节约，严格控制支出</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1.71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54.8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公务用车增加后保险及维护费用的增加</w:t>
      </w:r>
      <w:r>
        <w:rPr>
          <w:rFonts w:hint="eastAsia" w:ascii="仿宋_GB2312" w:hAnsi="Times New Roman" w:eastAsia="仿宋_GB2312" w:cs="DengXian-Regular"/>
          <w:sz w:val="32"/>
          <w:szCs w:val="32"/>
        </w:rPr>
        <w:t>。具体情况如下：</w:t>
      </w:r>
    </w:p>
    <w:p>
      <w:pPr>
        <w:numPr>
          <w:ilvl w:val="0"/>
          <w:numId w:val="4"/>
        </w:num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w:t>
      </w:r>
      <w:r>
        <w:rPr>
          <w:rFonts w:hint="eastAsia" w:ascii="仿宋_GB2312" w:hAnsi="Times New Roman" w:eastAsia="仿宋_GB2312" w:cs="DengXian-Regular"/>
          <w:sz w:val="32"/>
          <w:szCs w:val="32"/>
          <w:lang w:eastAsia="zh-CN"/>
        </w:rPr>
        <w:t>未发生因公出国费支出，较预算数无增减变化，与</w:t>
      </w:r>
      <w:r>
        <w:rPr>
          <w:rFonts w:hint="eastAsia" w:ascii="仿宋_GB2312" w:hAnsi="Times New Roman" w:eastAsia="仿宋_GB2312" w:cs="DengXian-Regular"/>
          <w:sz w:val="32"/>
          <w:szCs w:val="32"/>
          <w:lang w:val="en-US" w:eastAsia="zh-CN"/>
        </w:rPr>
        <w:t>2018年保持一致</w:t>
      </w:r>
      <w:r>
        <w:rPr>
          <w:rFonts w:hint="eastAsia" w:ascii="仿宋_GB2312" w:hAnsi="Times New Roman" w:eastAsia="仿宋_GB2312" w:cs="DengXian-Regular"/>
          <w:sz w:val="32"/>
          <w:szCs w:val="32"/>
          <w:lang w:eastAsia="zh-CN"/>
        </w:rPr>
        <w:t>。</w:t>
      </w:r>
    </w:p>
    <w:p>
      <w:pPr>
        <w:numPr>
          <w:ilvl w:val="0"/>
          <w:numId w:val="0"/>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4.83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5.17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降低</w:t>
      </w:r>
      <w:r>
        <w:rPr>
          <w:rFonts w:hint="eastAsia" w:ascii="仿宋_GB2312" w:hAnsi="Times New Roman" w:eastAsia="仿宋_GB2312" w:cs="DengXian-Regular"/>
          <w:sz w:val="32"/>
          <w:szCs w:val="32"/>
          <w:lang w:val="en-US" w:eastAsia="zh-CN"/>
        </w:rPr>
        <w:t>51.7</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我单位规范公务接待活动，厉行节约，严格控制支出；</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2018年度</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1.71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54.8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公务用车增加后保险及维护费用的增加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numPr>
          <w:ilvl w:val="0"/>
          <w:numId w:val="4"/>
        </w:num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未发生公务用车购置费支出，较预算数无增减变化，与</w:t>
      </w:r>
      <w:r>
        <w:rPr>
          <w:rFonts w:hint="eastAsia" w:ascii="仿宋_GB2312" w:hAnsi="Times New Roman" w:eastAsia="仿宋_GB2312" w:cs="DengXian-Regular"/>
          <w:sz w:val="32"/>
          <w:szCs w:val="32"/>
          <w:lang w:val="en-US" w:eastAsia="zh-CN"/>
        </w:rPr>
        <w:t>2018年保持一致</w:t>
      </w:r>
      <w:r>
        <w:rPr>
          <w:rFonts w:hint="eastAsia" w:ascii="仿宋_GB2312" w:hAnsi="Times New Roman" w:eastAsia="仿宋_GB2312" w:cs="DengXian-Regular"/>
          <w:sz w:val="32"/>
          <w:szCs w:val="32"/>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5.17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降低</w:t>
      </w:r>
      <w:r>
        <w:rPr>
          <w:rFonts w:hint="eastAsia" w:ascii="仿宋_GB2312" w:hAnsi="Times New Roman" w:eastAsia="仿宋_GB2312" w:cs="DengXian-Regular"/>
          <w:sz w:val="32"/>
          <w:szCs w:val="32"/>
          <w:lang w:val="en-US" w:eastAsia="zh-CN"/>
        </w:rPr>
        <w:t>51.7</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我单位规范公务接待活动，厉行节约，严格控制支出；</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2018年</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1.71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54.8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公务用车增加后保险及维护费用的增加</w:t>
      </w:r>
      <w:r>
        <w:rPr>
          <w:rFonts w:hint="eastAsia" w:ascii="仿宋_GB2312" w:hAnsi="Times New Roman" w:eastAsia="仿宋_GB2312" w:cs="DengXian-Regular"/>
          <w:sz w:val="32"/>
          <w:szCs w:val="32"/>
          <w:lang w:val="en-US" w:eastAsia="zh-CN"/>
        </w:rPr>
        <w:t>。</w:t>
      </w:r>
    </w:p>
    <w:p>
      <w:pPr>
        <w:numPr>
          <w:ilvl w:val="0"/>
          <w:numId w:val="4"/>
        </w:num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未发生公务接待费支出，较预算数无增减变化，与</w:t>
      </w:r>
      <w:r>
        <w:rPr>
          <w:rFonts w:hint="eastAsia" w:ascii="仿宋_GB2312" w:hAnsi="Times New Roman" w:eastAsia="仿宋_GB2312" w:cs="DengXian-Regular"/>
          <w:sz w:val="32"/>
          <w:szCs w:val="32"/>
          <w:lang w:val="en-US" w:eastAsia="zh-CN"/>
        </w:rPr>
        <w:t>2018年保持一致</w:t>
      </w:r>
      <w:r>
        <w:rPr>
          <w:rFonts w:hint="eastAsia" w:ascii="仿宋_GB2312" w:hAnsi="Times New Roman" w:eastAsia="仿宋_GB2312" w:cs="DengXian-Regular"/>
          <w:sz w:val="32"/>
          <w:szCs w:val="32"/>
          <w:lang w:eastAsia="zh-CN"/>
        </w:rPr>
        <w:t>。</w:t>
      </w:r>
      <w:bookmarkStart w:id="0" w:name="_GoBack"/>
      <w:bookmarkEnd w:id="0"/>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widowControl/>
        <w:ind w:firstLine="640" w:firstLineChars="200"/>
        <w:jc w:val="left"/>
        <w:rPr>
          <w:rFonts w:ascii="仿宋_GB2312" w:hAnsi="仿宋" w:eastAsia="仿宋_GB2312" w:cs="仿宋"/>
          <w:bCs/>
          <w:sz w:val="32"/>
          <w:szCs w:val="32"/>
        </w:rPr>
      </w:pPr>
      <w:r>
        <w:rPr>
          <w:rFonts w:hint="eastAsia" w:ascii="仿宋_GB2312" w:hAnsi="仿宋" w:eastAsia="仿宋_GB2312" w:cs="仿宋"/>
          <w:bCs/>
          <w:kern w:val="0"/>
          <w:sz w:val="32"/>
          <w:szCs w:val="32"/>
          <w:lang w:bidi="ar"/>
        </w:rPr>
        <w:t>我部门认真按照《河北省预算绩效管理办法（试行）》、《河北省财政支出绩效评价管理办法》等制度规定，严格评价标准，准确把握绩效评价的内容与方法，确保评价质量。为了提高财政资金使用效益和效率，实现财政资金的规范性、安全性和有效性，按照《河北省人民政府关于深化推进预算绩效管理的意见》遵循“客观公正、公开透明”的原则，积极开展工作。</w:t>
      </w:r>
    </w:p>
    <w:p>
      <w:pPr>
        <w:widowControl/>
        <w:ind w:firstLine="640" w:firstLineChars="200"/>
        <w:jc w:val="left"/>
        <w:rPr>
          <w:rFonts w:ascii="楷体_GB2312" w:hAnsi="楷体" w:eastAsia="楷体_GB2312" w:cs="Times New Roman"/>
          <w:b/>
          <w:sz w:val="32"/>
          <w:szCs w:val="32"/>
        </w:rPr>
      </w:pPr>
      <w:r>
        <w:rPr>
          <w:rFonts w:hint="eastAsia" w:ascii="仿宋_GB2312" w:hAnsi="仿宋" w:eastAsia="仿宋_GB2312" w:cs="仿宋"/>
          <w:bCs/>
          <w:kern w:val="0"/>
          <w:sz w:val="32"/>
          <w:szCs w:val="32"/>
          <w:lang w:bidi="ar"/>
        </w:rPr>
        <w:t>一是制定绩效管理自评方案，进一步明确了评价工作的指导思想、方法步骤，细化了应达到的绩效目标和相应的绩效指标，完善了绩效评价工作体系。二是按照经济性、效率性、有效性的原则，定量分析与定性分析相结合的原则，真实性、科学性、规范性的原则，对重点项目制定绩效评价实施方案和绩效指标评价体系。</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widowControl/>
        <w:ind w:firstLine="640" w:firstLineChars="200"/>
        <w:jc w:val="left"/>
        <w:rPr>
          <w:rFonts w:ascii="楷体_GB2312" w:hAnsi="楷体" w:eastAsia="楷体_GB2312"/>
          <w:b/>
          <w:sz w:val="32"/>
          <w:szCs w:val="32"/>
        </w:rPr>
      </w:pPr>
      <w:r>
        <w:rPr>
          <w:rFonts w:hint="eastAsia" w:ascii="仿宋_GB2312" w:hAnsi="仿宋" w:eastAsia="仿宋_GB2312" w:cs="仿宋"/>
          <w:bCs/>
          <w:kern w:val="0"/>
          <w:sz w:val="32"/>
          <w:szCs w:val="32"/>
          <w:lang w:bidi="ar"/>
        </w:rPr>
        <w:t>对于预算内项目资金支出开展资金支出评价工作，形成绩效评价报告。增加绩效评价的科学性、合理性。</w:t>
      </w:r>
    </w:p>
    <w:p>
      <w:pPr>
        <w:keepNext/>
        <w:keepLines/>
        <w:numPr>
          <w:ilvl w:val="0"/>
          <w:numId w:val="0"/>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firstLine="2891" w:firstLineChars="900"/>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441.98</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102.35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30.14</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取暖费与购买劳务服务费的增加</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701.74</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701.74</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701.74</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2018年持平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楷体_GB2312" w:hAnsi="Times New Roman" w:eastAsia="仿宋_GB2312" w:cs="DengXian-Bold"/>
          <w:b/>
          <w:bCs/>
          <w:sz w:val="32"/>
          <w:szCs w:val="32"/>
          <w:lang w:val="en-US" w:eastAsia="zh-CN"/>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2018年持平</w:t>
      </w:r>
      <w:r>
        <w:rPr>
          <w:rFonts w:hint="eastAsia" w:ascii="仿宋_GB2312" w:hAnsi="Times New Roman" w:eastAsia="仿宋_GB2312" w:cs="DengXian-Regular"/>
          <w:sz w:val="32"/>
          <w:szCs w:val="32"/>
          <w:lang w:eastAsia="zh-CN"/>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eastAsia="zh-CN"/>
        </w:rPr>
        <w:t>国有资本预算财政拨款</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val="en-US" w:eastAsia="zh-CN"/>
        </w:rPr>
        <w:t>09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2" w:type="first"/>
          <w:footerReference r:id="rId24" w:type="first"/>
          <w:headerReference r:id="rId21" w:type="default"/>
          <w:footerReference r:id="rId23"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8998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99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31"/>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5"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sectPr>
          <w:headerReference r:id="rId26" w:type="default"/>
          <w:pgSz w:w="11906" w:h="16838"/>
          <w:pgMar w:top="2098" w:right="1474" w:bottom="1985" w:left="1588" w:header="851" w:footer="992" w:gutter="0"/>
          <w:pgNumType w:fmt="numberInDash"/>
          <w:cols w:space="425" w:num="1"/>
          <w:docGrid w:type="lines" w:linePitch="312" w:charSpace="0"/>
        </w:sectPr>
      </w:pPr>
    </w:p>
    <w:p>
      <w:r>
        <mc:AlternateContent>
          <mc:Choice Requires="wps">
            <w:drawing>
              <wp:anchor distT="0" distB="0" distL="114300" distR="114300" simplePos="0" relativeHeight="251691008"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910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IJvLX90AAAAPAQAADwAAAAAA&#10;AAABACAAAAAiAAAAZHJzL2Rvd25yZXYueG1sUEsBAhQAFAAAAAgAh07iQBjHjd+AAgAA5QQAAA4A&#10;AAAAAAAAAQAgAAAALAEAAGRycy9lMm9Eb2MueG1sUEsFBgAAAAAGAAYAWQEAAB4GAAAAAA==&#10;">
                <v:fill on="t" focussize="0,0"/>
                <v:stroke on="f" weight="1pt" miterlimit="8" joinstyle="miter"/>
                <v:imagedata o:title=""/>
                <o:lock v:ext="edit" aspectratio="f"/>
                <v:textbox>
                  <w:txbxContent>
                    <w:p>
                      <w:pPr>
                        <w:jc w:val="center"/>
                      </w:pPr>
                    </w:p>
                  </w:txbxContent>
                </v:textbox>
              </v:rect>
            </w:pict>
          </mc:Fallback>
        </mc:AlternateContent>
      </w:r>
    </w:p>
    <w:sectPr>
      <w:headerReference r:id="rId28" w:type="first"/>
      <w:headerReference r:id="rId27" w:type="default"/>
      <w:footerReference r:id="rId29"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Bold">
    <w:altName w:val="宋体"/>
    <w:panose1 w:val="00000000000000000000"/>
    <w:charset w:val="86"/>
    <w:family w:val="auto"/>
    <w:pitch w:val="default"/>
    <w:sig w:usb0="00000000" w:usb1="00000000" w:usb2="00000010"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076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076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384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384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769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7769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872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872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974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974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9504"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9504;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8480;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0528;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155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155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3600"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73600;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2576"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72576;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6912"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6912;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7936;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486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486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588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588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179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179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281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7564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667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75E69EE"/>
    <w:multiLevelType w:val="singleLevel"/>
    <w:tmpl w:val="575E69EE"/>
    <w:lvl w:ilvl="0" w:tentative="0">
      <w:start w:val="1"/>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B011416"/>
    <w:rsid w:val="239A27BC"/>
    <w:rsid w:val="260332FF"/>
    <w:rsid w:val="31C2036A"/>
    <w:rsid w:val="320D02A5"/>
    <w:rsid w:val="3395036B"/>
    <w:rsid w:val="348E566F"/>
    <w:rsid w:val="3A226944"/>
    <w:rsid w:val="3AEE6A48"/>
    <w:rsid w:val="3C1620AA"/>
    <w:rsid w:val="3D8F080F"/>
    <w:rsid w:val="40FE0FD2"/>
    <w:rsid w:val="441748EC"/>
    <w:rsid w:val="44CE1FA4"/>
    <w:rsid w:val="487F73ED"/>
    <w:rsid w:val="4A347EAE"/>
    <w:rsid w:val="52600405"/>
    <w:rsid w:val="529B4319"/>
    <w:rsid w:val="550215FE"/>
    <w:rsid w:val="57773DD6"/>
    <w:rsid w:val="578B79AB"/>
    <w:rsid w:val="5B2E60AE"/>
    <w:rsid w:val="5CCD3FD5"/>
    <w:rsid w:val="61FA5F9D"/>
    <w:rsid w:val="62F523BD"/>
    <w:rsid w:val="64CD6910"/>
    <w:rsid w:val="6789158D"/>
    <w:rsid w:val="67D81BA4"/>
    <w:rsid w:val="68920D77"/>
    <w:rsid w:val="6AAF1C96"/>
    <w:rsid w:val="6BC776FA"/>
    <w:rsid w:val="6D62673C"/>
    <w:rsid w:val="75681757"/>
    <w:rsid w:val="75A346A8"/>
    <w:rsid w:val="77003430"/>
    <w:rsid w:val="79304CA6"/>
    <w:rsid w:val="79613ECC"/>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bmp"/><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0</TotalTime>
  <ScaleCrop>false</ScaleCrop>
  <LinksUpToDate>false</LinksUpToDate>
  <CharactersWithSpaces>11119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ZH、</cp:lastModifiedBy>
  <cp:lastPrinted>2020-07-30T02:37:00Z</cp:lastPrinted>
  <dcterms:modified xsi:type="dcterms:W3CDTF">2021-05-31T02:02:15Z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A77EB874A88448DE83912A048494CEA6</vt:lpwstr>
  </property>
</Properties>
</file>